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3643" w14:textId="77777777" w:rsidR="00A505F1" w:rsidRDefault="00344F2D">
      <w:pPr>
        <w:spacing w:before="75"/>
        <w:ind w:left="649" w:right="602"/>
        <w:jc w:val="center"/>
        <w:rPr>
          <w:b/>
          <w:w w:val="95"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 w:rsidR="00A505F1">
        <w:rPr>
          <w:b/>
          <w:w w:val="95"/>
          <w:sz w:val="20"/>
        </w:rPr>
        <w:t xml:space="preserve"> </w:t>
      </w:r>
      <w:r>
        <w:rPr>
          <w:b/>
          <w:w w:val="95"/>
          <w:sz w:val="20"/>
        </w:rPr>
        <w:t>SOPRANNUMERARI</w:t>
      </w:r>
    </w:p>
    <w:p w14:paraId="22980FAC" w14:textId="6D6B2675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w w:val="95"/>
          <w:sz w:val="20"/>
        </w:rPr>
        <w:t>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 w:rsidR="00623E45">
        <w:rPr>
          <w:b/>
          <w:spacing w:val="-3"/>
          <w:sz w:val="20"/>
        </w:rPr>
        <w:t xml:space="preserve">  -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2F7582">
        <w:rPr>
          <w:b/>
          <w:sz w:val="20"/>
        </w:rPr>
        <w:t>6</w:t>
      </w:r>
      <w:r>
        <w:rPr>
          <w:b/>
          <w:sz w:val="20"/>
        </w:rPr>
        <w:t>/202</w:t>
      </w:r>
      <w:r w:rsidR="002F7582">
        <w:rPr>
          <w:b/>
          <w:sz w:val="20"/>
        </w:rPr>
        <w:t>7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7BEC67F8" w14:textId="74EE1D07" w:rsidR="00B47491" w:rsidRDefault="00344F2D" w:rsidP="00B47491">
      <w:pPr>
        <w:tabs>
          <w:tab w:val="left" w:pos="10645"/>
        </w:tabs>
        <w:spacing w:before="1"/>
        <w:ind w:left="5944"/>
        <w:jc w:val="right"/>
        <w:rPr>
          <w:sz w:val="20"/>
        </w:rPr>
      </w:pPr>
      <w:r w:rsidRPr="00B47491">
        <w:rPr>
          <w:w w:val="95"/>
        </w:rPr>
        <w:t>AL</w:t>
      </w:r>
      <w:r w:rsidRPr="00B47491">
        <w:rPr>
          <w:spacing w:val="44"/>
        </w:rPr>
        <w:t xml:space="preserve"> </w:t>
      </w:r>
      <w:r w:rsidRPr="00B47491">
        <w:rPr>
          <w:w w:val="95"/>
        </w:rPr>
        <w:t>DIRIGENTE</w:t>
      </w:r>
      <w:r w:rsidR="00B47491">
        <w:rPr>
          <w:sz w:val="20"/>
        </w:rPr>
        <w:t xml:space="preserve"> SCOL</w:t>
      </w:r>
      <w:r w:rsidR="000172E8">
        <w:rPr>
          <w:sz w:val="20"/>
        </w:rPr>
        <w:t>A</w:t>
      </w:r>
      <w:r w:rsidR="00B47491">
        <w:rPr>
          <w:sz w:val="20"/>
        </w:rPr>
        <w:t>STICO</w:t>
      </w:r>
    </w:p>
    <w:p w14:paraId="32EFB43F" w14:textId="32EB4553" w:rsidR="00B47491" w:rsidRDefault="00A91274" w:rsidP="00B47491">
      <w:pPr>
        <w:tabs>
          <w:tab w:val="left" w:pos="10645"/>
        </w:tabs>
        <w:spacing w:before="1"/>
        <w:ind w:left="5944"/>
        <w:jc w:val="right"/>
        <w:rPr>
          <w:sz w:val="20"/>
        </w:rPr>
      </w:pPr>
      <w:r>
        <w:rPr>
          <w:sz w:val="20"/>
        </w:rPr>
        <w:t>I.I.S. “G. De Gruttola”</w:t>
      </w:r>
    </w:p>
    <w:p w14:paraId="6A390A18" w14:textId="76FB3298" w:rsidR="00C4649B" w:rsidRPr="00B47491" w:rsidRDefault="00A505F1" w:rsidP="00B47491">
      <w:pPr>
        <w:tabs>
          <w:tab w:val="left" w:pos="10645"/>
        </w:tabs>
        <w:spacing w:before="1"/>
        <w:ind w:left="5944"/>
        <w:jc w:val="right"/>
        <w:rPr>
          <w:sz w:val="20"/>
        </w:rPr>
      </w:pPr>
      <w:r>
        <w:rPr>
          <w:sz w:val="20"/>
        </w:rPr>
        <w:t>Ariano Irpino (AV)</w:t>
      </w:r>
      <w:r w:rsidR="00344F2D" w:rsidRPr="00B47491">
        <w:rPr>
          <w:sz w:val="20"/>
        </w:rPr>
        <w:t xml:space="preserve"> </w: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506C614C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 CCNI</w:t>
      </w:r>
      <w:r w:rsidR="00A505F1">
        <w:rPr>
          <w:sz w:val="20"/>
        </w:rPr>
        <w:t xml:space="preserve"> 2025/2028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59FD183F" w:rsidR="00C4649B" w:rsidRDefault="00344F2D" w:rsidP="008B1508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 w:rsidR="008B1508">
              <w:rPr>
                <w:sz w:val="18"/>
              </w:rPr>
              <w:t xml:space="preserve"> (da computarsi fino alla data di scadenza del termine di presentazione della domanda)</w:t>
            </w:r>
            <w:r>
              <w:rPr>
                <w:sz w:val="18"/>
              </w:rPr>
              <w:t>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 w:rsidP="008B1508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 w:rsidP="008B1508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41518C1C" w:rsidR="00C4649B" w:rsidRDefault="00344F2D" w:rsidP="008B1508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 w:rsidR="008B1508">
              <w:rPr>
                <w:sz w:val="18"/>
              </w:rPr>
              <w:t xml:space="preserve"> (g) (h)</w:t>
            </w:r>
            <w:r>
              <w:rPr>
                <w:sz w:val="18"/>
              </w:rPr>
              <w:t>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 w:rsidP="008B1508">
            <w:pPr>
              <w:pStyle w:val="TableParagraph"/>
              <w:spacing w:line="230" w:lineRule="auto"/>
              <w:ind w:left="71"/>
              <w:jc w:val="both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 w:rsidP="008B1508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 w:rsidP="008B1508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 w:rsidP="008B1508">
            <w:pPr>
              <w:pStyle w:val="TableParagraph"/>
              <w:tabs>
                <w:tab w:val="left" w:pos="8633"/>
              </w:tabs>
              <w:spacing w:before="76"/>
              <w:ind w:left="71" w:right="73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 w:rsidP="008B1508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jc w:val="both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Pr="008B1508" w:rsidRDefault="00344F2D">
            <w:pPr>
              <w:pStyle w:val="TableParagraph"/>
              <w:spacing w:line="237" w:lineRule="auto"/>
              <w:ind w:left="71"/>
              <w:rPr>
                <w:sz w:val="14"/>
                <w:szCs w:val="14"/>
              </w:rPr>
            </w:pPr>
            <w:r w:rsidRPr="008B1508">
              <w:rPr>
                <w:b/>
                <w:spacing w:val="-3"/>
                <w:sz w:val="14"/>
                <w:szCs w:val="14"/>
              </w:rPr>
              <w:t>Nota (e):</w:t>
            </w:r>
            <w:r w:rsidRPr="008B1508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8B1508">
              <w:rPr>
                <w:spacing w:val="-3"/>
                <w:sz w:val="14"/>
                <w:szCs w:val="14"/>
              </w:rPr>
              <w:t xml:space="preserve">Il punteggio </w:t>
            </w:r>
            <w:r w:rsidRPr="008B1508">
              <w:rPr>
                <w:spacing w:val="-2"/>
                <w:sz w:val="14"/>
                <w:szCs w:val="14"/>
              </w:rPr>
              <w:t>viene riconosciuto anche a coloro che presentano domanda condizionata, in quanto soprannumerari; la richiesta, nel</w:t>
            </w:r>
            <w:r w:rsidRPr="008B1508">
              <w:rPr>
                <w:spacing w:val="-37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quinquennio,</w:t>
            </w:r>
            <w:r w:rsidRPr="008B1508">
              <w:rPr>
                <w:spacing w:val="-9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di</w:t>
            </w:r>
            <w:r w:rsidRPr="008B1508">
              <w:rPr>
                <w:spacing w:val="-5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rientro</w:t>
            </w:r>
            <w:r w:rsidRPr="008B1508">
              <w:rPr>
                <w:spacing w:val="-9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nella</w:t>
            </w:r>
            <w:r w:rsidRPr="008B1508">
              <w:rPr>
                <w:spacing w:val="-2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scuola</w:t>
            </w:r>
            <w:r w:rsidRPr="008B1508">
              <w:rPr>
                <w:spacing w:val="-9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di</w:t>
            </w:r>
            <w:r w:rsidRPr="008B1508">
              <w:rPr>
                <w:spacing w:val="-7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precedente</w:t>
            </w:r>
            <w:r w:rsidRPr="008B1508">
              <w:rPr>
                <w:spacing w:val="-7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titolarità</w:t>
            </w:r>
            <w:r w:rsidRPr="008B1508">
              <w:rPr>
                <w:spacing w:val="-3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fa</w:t>
            </w:r>
            <w:r w:rsidRPr="008B1508">
              <w:rPr>
                <w:spacing w:val="-7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maturare</w:t>
            </w:r>
            <w:r w:rsidRPr="008B1508">
              <w:rPr>
                <w:spacing w:val="-4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regolarmente</w:t>
            </w:r>
            <w:r w:rsidRPr="008B1508">
              <w:rPr>
                <w:spacing w:val="-9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il</w:t>
            </w:r>
            <w:r w:rsidRPr="008B1508">
              <w:rPr>
                <w:spacing w:val="-7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predetto</w:t>
            </w:r>
            <w:r w:rsidRPr="008B1508">
              <w:rPr>
                <w:spacing w:val="-9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punteggio</w:t>
            </w:r>
            <w:r w:rsidRPr="008B1508">
              <w:rPr>
                <w:spacing w:val="-9"/>
                <w:sz w:val="14"/>
                <w:szCs w:val="14"/>
              </w:rPr>
              <w:t xml:space="preserve"> </w:t>
            </w:r>
            <w:r w:rsidRPr="008B1508">
              <w:rPr>
                <w:sz w:val="14"/>
                <w:szCs w:val="14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2D46C556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</w:t>
      </w:r>
      <w:r w:rsidR="005F1188">
        <w:rPr>
          <w:b/>
          <w:sz w:val="20"/>
        </w:rPr>
        <w:t xml:space="preserve"> (5 ter)</w:t>
      </w:r>
      <w:r>
        <w:rPr>
          <w:b/>
          <w:sz w:val="20"/>
        </w:rPr>
        <w:t>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30EF22A2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735CEB">
              <w:rPr>
                <w:b/>
                <w:spacing w:val="-1"/>
                <w:sz w:val="18"/>
              </w:rPr>
              <w:t xml:space="preserve">x  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 w:rsidR="00735CEB">
              <w:rPr>
                <w:b/>
                <w:sz w:val="18"/>
              </w:rPr>
              <w:t>____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3D80146C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 w:rsidR="00735CEB">
              <w:rPr>
                <w:b/>
                <w:sz w:val="18"/>
              </w:rPr>
              <w:t xml:space="preserve"> x  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 w:rsidR="00735CEB">
              <w:rPr>
                <w:b/>
                <w:sz w:val="18"/>
                <w:u w:val="single"/>
              </w:rPr>
              <w:t>__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4A62E67" w:rsidR="00C4649B" w:rsidRPr="005F1188" w:rsidRDefault="00344F2D" w:rsidP="005F1188">
            <w:pPr>
              <w:pStyle w:val="TableParagraph"/>
              <w:spacing w:before="66"/>
              <w:ind w:left="69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 xml:space="preserve">) </w:t>
            </w:r>
            <w:r w:rsidR="005F1188" w:rsidRPr="005F1188">
              <w:rPr>
                <w:sz w:val="18"/>
              </w:rPr>
              <w:t xml:space="preserve">per la cura e l'assistenza dei figli con disabilità fisiche, psichiche o sensoriali, ovvero  del coniuge o del genitore totalmente o permanentemente inabili al lavoro, che possono essere assistiti soltanto nel comune richiesto (7)(1), nonché per l'assistenza dei figli tossicodipendenti sottoposti ad un programma terapeutico e  socio-riabilitativo da attuare presso la residenza abituale con l'assistenza del  medico di fiducia (art. 122 – comma III – D.P.R. 309/90), o presso le  strutture  pubbliche  e  private  di  cui  agli  artt.  114 – 118 – 122 D.P.R.  309/90, qualora il programma comporti di necessità il domicilio nella sede </w:t>
            </w:r>
            <w:r w:rsidR="005F1188">
              <w:rPr>
                <w:sz w:val="18"/>
              </w:rPr>
              <w:t>d</w:t>
            </w:r>
            <w:r w:rsidR="005F1188" w:rsidRPr="005F1188">
              <w:rPr>
                <w:sz w:val="18"/>
              </w:rPr>
              <w:t>ella struttura medesima (8)</w:t>
            </w:r>
            <w:r w:rsidR="005F1188">
              <w:rPr>
                <w:sz w:val="18"/>
              </w:rPr>
              <w:t>……....</w:t>
            </w:r>
            <w:r>
              <w:rPr>
                <w:sz w:val="18"/>
              </w:rPr>
              <w:t>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43481EC3" w:rsidR="00C4649B" w:rsidRDefault="00735CEB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</w:t>
            </w:r>
            <w:r w:rsidR="00344F2D">
              <w:rPr>
                <w:sz w:val="18"/>
              </w:rPr>
              <w:t>ppartenenza</w:t>
            </w:r>
            <w:r>
              <w:rPr>
                <w:sz w:val="18"/>
              </w:rPr>
              <w:t xml:space="preserve"> </w:t>
            </w:r>
            <w:r w:rsidR="00344F2D">
              <w:rPr>
                <w:sz w:val="18"/>
              </w:rPr>
              <w:t>(10)…</w:t>
            </w:r>
            <w:r w:rsidR="00344F2D">
              <w:rPr>
                <w:sz w:val="18"/>
              </w:rPr>
              <w:tab/>
            </w:r>
            <w:r w:rsidR="00344F2D">
              <w:rPr>
                <w:b/>
                <w:sz w:val="18"/>
              </w:rPr>
              <w:t>punti</w:t>
            </w:r>
            <w:r w:rsidR="00344F2D">
              <w:rPr>
                <w:b/>
                <w:spacing w:val="-4"/>
                <w:sz w:val="18"/>
              </w:rPr>
              <w:t xml:space="preserve"> </w:t>
            </w:r>
            <w:r w:rsidR="00344F2D"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6579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19B33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7F52A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296F63FF" w14:textId="77777777" w:rsidR="00A505F1" w:rsidRDefault="00A505F1">
      <w:pPr>
        <w:tabs>
          <w:tab w:val="left" w:pos="2463"/>
        </w:tabs>
        <w:spacing w:before="91"/>
        <w:ind w:left="212"/>
        <w:rPr>
          <w:b/>
          <w:sz w:val="20"/>
        </w:rPr>
      </w:pPr>
    </w:p>
    <w:p w14:paraId="7F5A5910" w14:textId="6902BF3D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0116C0B6" w14:textId="77777777" w:rsidR="00477AEE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>(a)</w:t>
      </w:r>
      <w:r w:rsidRPr="00376FAC">
        <w:rPr>
          <w:sz w:val="20"/>
          <w:szCs w:val="20"/>
        </w:rPr>
        <w:t xml:space="preserve"> Tale servizio è riconosciuto sia al personale ATA già statale, che a quello proveniente dagli Enti Locali in quanto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transitato nei ruoli statali ai sensi della legge 124/99. Ai funzionari che sulla base del previgente ordinamento erano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inquadrati nell’area dei DSGA compete la valutazione anche del servizio effettivamente prestato successivamente alla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decorrenza giuridica nella nomina nel profilo di responsabile amministrativo. Per il personale della Croce Rossa italiana e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degli Enti di area vasta transitato nei ruoli ATA il punteggio è riconosciuto solo qualora prima del transito fosse stato svolto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servizio scolastico statale, di ruolo o non di ruolo, nei ruoli ATA</w:t>
      </w:r>
    </w:p>
    <w:p w14:paraId="60EBA729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</w:p>
    <w:p w14:paraId="4B78ADB5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>(b)</w:t>
      </w:r>
      <w:r w:rsidRPr="00376FAC">
        <w:rPr>
          <w:sz w:val="20"/>
          <w:szCs w:val="20"/>
        </w:rPr>
        <w:t xml:space="preserve"> Tale servizio è riconosciuto sia al personale ATA già statale, che a quello proveniente dagli Enti Locali in quanto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transitato nei ruoli statali ai sensi della legge 124/99. Per quest’ultimo personale, ovviamente, non deve essere di nuovo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valutato il servizio di cui alla lettera A) e B). Il punteggio è riconosciuto anche al personale transitato nei ruoli ATA dalla</w:t>
      </w:r>
    </w:p>
    <w:p w14:paraId="6FACC793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Croce Rossa italiana e dagli Enti di area Vasta per il servizio svolto nei suddetti comparti di provenienza.</w:t>
      </w:r>
    </w:p>
    <w:p w14:paraId="527155E7" w14:textId="77777777" w:rsidR="00477AEE" w:rsidRDefault="00477AEE" w:rsidP="00477AEE">
      <w:pPr>
        <w:adjustRightInd w:val="0"/>
        <w:jc w:val="both"/>
        <w:rPr>
          <w:sz w:val="20"/>
          <w:szCs w:val="20"/>
        </w:rPr>
      </w:pPr>
    </w:p>
    <w:p w14:paraId="60F9505D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>(c)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Tale servizio è riconosciuto sia al personale ATA già statale che a quello proveniente dagli Enti Locali in quanto transitato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nei ruoli statali ai sensi della legge 124/99. Ai funzionari che sulla base del previgente ordinamento erano inquadrati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nell’area dei DSGA compete la valutazione anche del servizio effettivamente prestato successivamente alla decorrenza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giuridica nella nomina nel profilo di responsabile amministrativo.</w:t>
      </w:r>
    </w:p>
    <w:p w14:paraId="578CEAA2" w14:textId="77777777" w:rsidR="00477AEE" w:rsidRDefault="00477AEE" w:rsidP="00477AEE">
      <w:pPr>
        <w:adjustRightInd w:val="0"/>
        <w:jc w:val="both"/>
        <w:rPr>
          <w:sz w:val="20"/>
          <w:szCs w:val="20"/>
        </w:rPr>
      </w:pPr>
    </w:p>
    <w:p w14:paraId="54122370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>(d)</w:t>
      </w:r>
      <w:r w:rsidRPr="00376FAC">
        <w:rPr>
          <w:sz w:val="20"/>
          <w:szCs w:val="20"/>
        </w:rPr>
        <w:t xml:space="preserve"> Al personale transitato dagli Enti Locali allo Stato compete il punteggio per la continuità di servizio prestato nel profilo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di appartenenza per almeno un triennio nella scuola di attuale titolarità anche per il servizio prestato alle stesse condizioni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quale dipendente degli Enti Locali.</w:t>
      </w:r>
    </w:p>
    <w:p w14:paraId="56E670AE" w14:textId="77777777" w:rsidR="00477AEE" w:rsidRDefault="00477AEE" w:rsidP="00477AEE">
      <w:pPr>
        <w:adjustRightInd w:val="0"/>
        <w:jc w:val="both"/>
        <w:rPr>
          <w:sz w:val="20"/>
          <w:szCs w:val="20"/>
        </w:rPr>
      </w:pPr>
    </w:p>
    <w:p w14:paraId="617D99C0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>(e)</w:t>
      </w:r>
      <w:r w:rsidRPr="00376FAC">
        <w:rPr>
          <w:sz w:val="20"/>
          <w:szCs w:val="20"/>
        </w:rPr>
        <w:t xml:space="preserve"> Il diritto all’attribuzione del punteggio deve essere attestato con apposita dichiarazione personale, nella quale si elencano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gli anni in cui non si è presentata la domanda di mobilità volontaria in ambito provinciale, analoga al modello allegato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all’O.M. sulla mobilità del personale.</w:t>
      </w:r>
    </w:p>
    <w:p w14:paraId="2A805316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Ai fini della maturazione una tantum del punteggio è utile un triennio compreso nel periodo intercorrente tra le domande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di mobilità per l’a.s. 2000/2001 e quelle per l’anno scolastico 2007/2008.</w:t>
      </w:r>
    </w:p>
    <w:p w14:paraId="180041E5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Con le domande di mobilità per l’anno scolastico 2007/2008 si è, infatti, concluso il periodo utile per l’acquisizione del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punteggio aggiuntivo a seguito della maturazione del triennio.</w:t>
      </w:r>
    </w:p>
    <w:p w14:paraId="5CECABEE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Le condizioni previste alla lettera F) titolo I della Tabella, si sono concretizzate se nel periodo indicato è stato prestato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servizio nella stessa scuola, per non meno di 4 anni consecutivi: l’anno di arrivo, più i successivi 3 anni in cui non è stata</w:t>
      </w:r>
    </w:p>
    <w:p w14:paraId="7E8CBD12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presentata domanda di mobilità volontaria in ambito provinciale. Le condizioni si sono realizzate anche se si è ottenuto,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nel periodo appena considerato, un trasferimento in diversa provincia.</w:t>
      </w:r>
    </w:p>
    <w:p w14:paraId="783E6627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Tale punteggio viene, inoltre, riconosciuto anche a coloro che, nel suddetto periodo, hanno presentato in ambito provinciale:</w:t>
      </w:r>
    </w:p>
    <w:p w14:paraId="0CE1E7DF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• domanda condizionata di trasferimento in quanto individuati soprannumerari;</w:t>
      </w:r>
    </w:p>
    <w:p w14:paraId="518919AC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• domanda di rientro nella scuola di precedente titolarità nel decennio di fruizione del diritto alla precedenza di cui ai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punti II e V dell’art. 40, comma 1 del CCNI.</w:t>
      </w:r>
    </w:p>
    <w:p w14:paraId="13AAB627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Tale punteggio, una volta acquisito, si perde esclusivamente nel caso in cui si ottenga, a seguito di domanda volontaria in</w:t>
      </w:r>
    </w:p>
    <w:p w14:paraId="171AA168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ambito provinciale, il trasferimento, il passaggio o l’assegnazione provvisoria.</w:t>
      </w:r>
    </w:p>
    <w:p w14:paraId="73AEBED6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Nei riguardi del personale ATA individuato soprannumerario e trasferito d’ufficio senza aver prodotto domanda o trasferito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a domanda condizionata, non fa perdere il riconoscimento del punteggio aggiuntivo l’aver ottenuto nel corso del periodo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di fruizione del diritto alla precedenza di cui ai punti II e V dell’art.40, comma 1 del CCNI, il rientro nella scuola o nel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comune di precedente titolarità, il trasferimento per altre preferenze espresse nella domanda o l’assegnazione provvisoria.</w:t>
      </w:r>
    </w:p>
    <w:p w14:paraId="11DC1074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Analogamente non perde il riconoscimento del punteggio aggiuntivo il personale trasferito d’ufficio o a domanda condizionata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che nel periodo di cui sopra non chiede il rientro nella scuola di precedente titolarità.</w:t>
      </w:r>
    </w:p>
    <w:p w14:paraId="426FFD98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In ogni caso la sola presentazione della domanda di mobilità, anche in ambito provinciale, non determina la perdita del</w:t>
      </w:r>
    </w:p>
    <w:p w14:paraId="5D6086AF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punteggio aggiuntivo una volta che lo stesso è stato acquisito.</w:t>
      </w:r>
    </w:p>
    <w:p w14:paraId="5B1BD8F0" w14:textId="77777777" w:rsidR="00477AEE" w:rsidRDefault="00477AEE" w:rsidP="00477AEE">
      <w:pPr>
        <w:adjustRightInd w:val="0"/>
        <w:jc w:val="both"/>
        <w:rPr>
          <w:sz w:val="20"/>
          <w:szCs w:val="20"/>
        </w:rPr>
      </w:pPr>
    </w:p>
    <w:p w14:paraId="565E6892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 xml:space="preserve">(f) </w:t>
      </w:r>
      <w:r w:rsidRPr="00376FAC">
        <w:rPr>
          <w:sz w:val="20"/>
          <w:szCs w:val="20"/>
        </w:rPr>
        <w:t>Vanno computati nell’anzianità di servizio, a tutti gli effetti, i periodi di congedo retribuiti e non retribuiti disciplinati dal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decreto legislativo 26.3.2001 n. 151 e successive modifiche ed integrazioni (Capo III – Congedo di maternità, Capo IV –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Congedo di paternità, Capo V – Congedo parentale, Capo VII – Congedi per la malattia del figlio)</w:t>
      </w:r>
    </w:p>
    <w:p w14:paraId="7EDE8CC4" w14:textId="77777777" w:rsidR="00477AEE" w:rsidRDefault="00477AEE" w:rsidP="00477AEE">
      <w:pPr>
        <w:adjustRightInd w:val="0"/>
        <w:jc w:val="both"/>
        <w:rPr>
          <w:sz w:val="20"/>
          <w:szCs w:val="20"/>
        </w:rPr>
      </w:pPr>
    </w:p>
    <w:p w14:paraId="3ACB3257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>(g)</w:t>
      </w:r>
      <w:r w:rsidRPr="00376FAC">
        <w:rPr>
          <w:sz w:val="20"/>
          <w:szCs w:val="20"/>
        </w:rPr>
        <w:t xml:space="preserve"> Esclusivamente ai fini della mobilità, il punteggio è riconosciuto anche al personale immesso in ruolo nel profilo di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collaboratore scolastico a seguito delle procedure di internalizzazione di cui all’articolo 58, comma 5 ss, del decreto-legge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n. 69 del 2013, per i servizi di pulizia e ausiliari svolti, presso le istituzioni scolastiche ed educative statali, in qualità di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dipendente di imprese titolari di contratti per lo svolgimento dei predetti servizi. Al personale in questione non compete,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invece, il punteggio per la continuità di servizio anche per il servizio prestato nelle istituzioni scolastiche in qualità di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dipendente delle imprese di pulizie.</w:t>
      </w:r>
    </w:p>
    <w:p w14:paraId="20570641" w14:textId="77777777" w:rsidR="00477AEE" w:rsidRDefault="00477AEE" w:rsidP="00477AEE">
      <w:pPr>
        <w:adjustRightInd w:val="0"/>
        <w:jc w:val="both"/>
        <w:rPr>
          <w:sz w:val="20"/>
          <w:szCs w:val="20"/>
        </w:rPr>
      </w:pPr>
    </w:p>
    <w:p w14:paraId="4597AC80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7D5586">
        <w:rPr>
          <w:b/>
          <w:bCs/>
          <w:sz w:val="20"/>
          <w:szCs w:val="20"/>
        </w:rPr>
        <w:t>(h)</w:t>
      </w:r>
      <w:r w:rsidRPr="00376FAC">
        <w:rPr>
          <w:sz w:val="20"/>
          <w:szCs w:val="20"/>
        </w:rPr>
        <w:t xml:space="preserve"> Esclusivamente ai fini della mobilità, il punteggio è riconosciuto anche al personale stabilizzato in esito alle procedure</w:t>
      </w:r>
    </w:p>
    <w:p w14:paraId="66C18FE0" w14:textId="77777777" w:rsidR="00477AEE" w:rsidRPr="00376FAC" w:rsidRDefault="00477AEE" w:rsidP="00477AEE">
      <w:pPr>
        <w:adjustRightInd w:val="0"/>
        <w:jc w:val="both"/>
        <w:rPr>
          <w:sz w:val="20"/>
          <w:szCs w:val="20"/>
        </w:rPr>
      </w:pPr>
      <w:r w:rsidRPr="00376FAC">
        <w:rPr>
          <w:sz w:val="20"/>
          <w:szCs w:val="20"/>
        </w:rPr>
        <w:t>di cui all’articolo 1, commi 619 e 622, della legge 27 dicembre 2017, n. 205. Al personale in questione non compete,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invece, il punteggio per la continuità di servizio anche per il servizio prestato nelle istituzioni scolastiche in qualità di</w:t>
      </w:r>
      <w:r>
        <w:rPr>
          <w:sz w:val="20"/>
          <w:szCs w:val="20"/>
        </w:rPr>
        <w:t xml:space="preserve"> </w:t>
      </w:r>
      <w:r w:rsidRPr="00376FAC">
        <w:rPr>
          <w:sz w:val="20"/>
          <w:szCs w:val="20"/>
        </w:rPr>
        <w:t>dipendente delle imprese di pulizie.</w:t>
      </w:r>
    </w:p>
    <w:p w14:paraId="447C2CD5" w14:textId="4573A892" w:rsidR="00E80C69" w:rsidRPr="00E80C69" w:rsidRDefault="00E80C69" w:rsidP="00E80C69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E80C69">
        <w:rPr>
          <w:rFonts w:ascii="Arial" w:hAnsi="Arial" w:cs="Arial"/>
          <w:color w:val="000000"/>
          <w:sz w:val="18"/>
          <w:szCs w:val="18"/>
          <w:lang w:eastAsia="it-IT"/>
        </w:rPr>
        <w:t>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3EBB9EE9" w14:textId="0B6CD3B7" w:rsidR="00D0394A" w:rsidRPr="00E51C53" w:rsidRDefault="00344F2D" w:rsidP="00D0394A">
      <w:pPr>
        <w:pStyle w:val="Titolo1"/>
        <w:spacing w:before="74"/>
        <w:rPr>
          <w:b w:val="0"/>
          <w:bCs w:val="0"/>
          <w:sz w:val="20"/>
          <w:szCs w:val="20"/>
        </w:rPr>
      </w:pPr>
      <w:r>
        <w:lastRenderedPageBreak/>
        <w:t>NOTE</w:t>
      </w:r>
      <w:r>
        <w:rPr>
          <w:spacing w:val="-1"/>
        </w:rPr>
        <w:t xml:space="preserve"> </w:t>
      </w:r>
      <w:r w:rsidR="00A505F1">
        <w:rPr>
          <w:spacing w:val="-1"/>
        </w:rPr>
        <w:t>COMUNI</w:t>
      </w:r>
      <w:r>
        <w:t>:</w:t>
      </w:r>
    </w:p>
    <w:p w14:paraId="3ECC35A6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(1) A norma del D.P.R. 28.12.2000, n. 445 e successive modifiche ed integrazioni, l'interessato può comprovare con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dichiarazione personale in carta libera l'esistenza dei figli minorenni (precisando in tal caso la data di nascita), lo stato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 xml:space="preserve">celibe, nubile, coniugato, vedovo o divorziato e il rapporto di parentela con le persone con cui chiede di </w:t>
      </w:r>
      <w:r>
        <w:rPr>
          <w:sz w:val="20"/>
          <w:szCs w:val="20"/>
        </w:rPr>
        <w:t>r</w:t>
      </w:r>
      <w:r w:rsidRPr="00E51C53">
        <w:rPr>
          <w:sz w:val="20"/>
          <w:szCs w:val="20"/>
        </w:rPr>
        <w:t>icongiungersi 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riavvicinarsi. Analogamente con dichiarazione personale può essere comprovata l'esistenza di un figlio maggiorenne, permanentemente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inabile al lavoro. La residenza del familiare deve essere comprovata con dichiarazione personale redatta ai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sensi delle disposizioni contenute nel D.P.R. 28.12.2000, n. 445 e successive modifiche ed integrazioni. Deve essere documentato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con certificato rilasciato dall'istituto di cura, il ricovero permanente del figlio, del coniuge ovvero del genitore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disabile. Il bisogno per i medesimi di cure continuative, tali da comportare di necessità la residenza nella sede dell'istituto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di cura deve essere, invece, documentato</w:t>
      </w:r>
      <w:r w:rsidRPr="00E51C53">
        <w:rPr>
          <w:rFonts w:ascii="Tahoma" w:hAnsi="Tahoma" w:cs="Tahoma"/>
          <w:sz w:val="20"/>
          <w:szCs w:val="20"/>
        </w:rPr>
        <w:t xml:space="preserve"> </w:t>
      </w:r>
      <w:r w:rsidRPr="00E51C53">
        <w:rPr>
          <w:sz w:val="20"/>
          <w:szCs w:val="20"/>
        </w:rPr>
        <w:t>con certificato rilasciato da ente pubblico ospedaliero o da medico provinciale 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dall'ufficio sanitario o da una commissione medico-militare; in questo caso, l'interessato dovrà altresì comprovare, con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dichiarazione personale redatta in conformità delle disposizioni contenute nel D.P.R. 28.12.2000, n. 445 e successive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modifiche ed integrazioni, che il figlio, il coniuge o gli altri familiari con disabilità possono essere assistiti soltanto nel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comune richiesto in quanto nella sede di titolarità non esiste un istituto di cura presso il quale i medesimi possono essere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assistiti.</w:t>
      </w:r>
    </w:p>
    <w:p w14:paraId="3B3300EA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Ai fini della validità della certificazione richiesta si richiama quanto disposto dalla legge delle disposizioni contenute nel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D.P.R. 28.12.2000, n. 445 e successive modifiche ed integrazioni.</w:t>
      </w:r>
    </w:p>
    <w:p w14:paraId="2EB6E228" w14:textId="77777777" w:rsidR="00D0394A" w:rsidRPr="00E51C53" w:rsidRDefault="00D0394A" w:rsidP="00D0394A">
      <w:pPr>
        <w:adjustRightInd w:val="0"/>
        <w:rPr>
          <w:sz w:val="20"/>
          <w:szCs w:val="20"/>
        </w:rPr>
      </w:pPr>
    </w:p>
    <w:p w14:paraId="390EE782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(2) E' valutato il periodo coperto da decorrenza giuridica della nomina purché sia stato prestato effettivo servizio nello</w:t>
      </w:r>
    </w:p>
    <w:p w14:paraId="0BD42AF0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stesso profilo professionale. Sono comunque valutati con il punteggio previsto dalla presente voce i seguenti servizi:</w:t>
      </w:r>
      <w:r>
        <w:rPr>
          <w:sz w:val="20"/>
          <w:szCs w:val="20"/>
        </w:rPr>
        <w:t xml:space="preserve"> </w:t>
      </w:r>
    </w:p>
    <w:p w14:paraId="65800251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di ruolo prestato quale assistente di scuola materna per il personale iscritto nei ruoli della carriera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esecutiva ai sensi dell'art. 8, della legge n. 463/78; il servizio di ruolo prestato quale accudiente di convitto dal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personale transitato nella terza qualifica ai sensi dell'art. 49, della legge n. 312/80;</w:t>
      </w:r>
    </w:p>
    <w:p w14:paraId="7AE5C20D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prestato nel profilo di provenienza per il personale transitato nell'attuale profilo, a seguito di passaggio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nell’ambito della stessa qualifica o area ai sensi dell'art. 19, del D.P.R. 399/88 e dell'art. 38, del D.P.R. 209/87 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dell’art. 1 comma 2 lettera B della sequenza contrattuale del 25 luglio 2008;</w:t>
      </w:r>
    </w:p>
    <w:p w14:paraId="5B526AC0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prestato in profilo diverso da quello di appartenenza a seguito di utilizzazione o assegnazione provvisoria;</w:t>
      </w:r>
    </w:p>
    <w:p w14:paraId="03D635AC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prestato da parte del personale responsabile amministrativo o assistente amministrativo per la sostituzione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 titolare di incarico di DSGA;</w:t>
      </w:r>
    </w:p>
    <w:p w14:paraId="4BD5CCDE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prestato nel ruolo di provenienza per il personale trasferito nel profilo di attuale appartenenza per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effetto dell'art. 200 del T.U. approvato con D.P.R. 10/01/1957, n. 3, purché il ruolo di provenienza fosse compreso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fra quelli elencati nella tabella A annessa al D.P.R. 31/05/1974, n. 420 e successive modifiche e integrazioni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ovvero tra quelli corrispondenti dell’amministrazione centrale e periferica;</w:t>
      </w:r>
    </w:p>
    <w:p w14:paraId="64214221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prestato nel ruolo di provenienza per il personale trasferito nel profilo di attuale appartenenza per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effetto di trasposizione automatica nel nuovo sistema di classificazione del personale ai sensi dell’Allegato B del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CCNL 2024.</w:t>
      </w:r>
    </w:p>
    <w:p w14:paraId="6AF2D1E3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prestato dal personale inidoneo durante il periodo di collocamento fuori ruolo ai sensi dell’art. 23 –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comma 5, del C.C.N.L. sottoscritto il 4 agosto 1995 in mansioni parziali del profilo di appartenenza o in altro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profilo comunque coerenti;</w:t>
      </w:r>
    </w:p>
    <w:p w14:paraId="006AF2DF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 servizi di ruolo prestati indifferentemente nei ruoli confluiti nei singoli profili professionali previsti dal D.P.R.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07/03/1985, n. 588 (per l'ausiliario, i servizi prestati nei ruoli dei bidelli, dei custodi e degli accudienti; per il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guardarobiere, il servizio prestato nei ruoli dei guardarobieri e degli aiutanti guardarobieri; per il collaboratore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amministrativo, il servizio prestato nei ruoli degli applicati di segreteria e dei magazzinieri);</w:t>
      </w:r>
    </w:p>
    <w:p w14:paraId="21F3FCCD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per l’attribuzione del punteggio relativo al servizio effettivamente prestato nelle scuole o istituti situati nelle piccole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isole si prescinde dal requisito della residenza in sede;</w:t>
      </w:r>
    </w:p>
    <w:p w14:paraId="28360943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al personale ATA di ruolo collocato in congedo straordinario per motivi di studio senza assegni ai sensi dell'art. 2,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della legge 13/08/1984, n. 476 e ss.mm.ii. per la frequenza di dottorato di ricerca o in quanto assegnatario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borse di studio da parte di amministrazioni statali, enti pubblici, stati stranieri, enti od organismi internazionali, è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valutato con il punteggio previsto dalla presente voce il periodo della durata del corso o della borsa di studio;</w:t>
      </w:r>
    </w:p>
    <w:p w14:paraId="3C0E049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per l'attribuzione dei punteggi previsti per l'anzianità di servizio - punto I, lettere A), B), C), D) agli insegnanti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elementari collocati permanentemente fuori ruolo, ai sensi dell’art. 21, della legge 9.8.1978, n. 463 è valutato il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servizio prestato nella carriera di appartenenza, sia in qualità di insegnante elementare sia con mansioni di responsabile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amministrativo;</w:t>
      </w:r>
    </w:p>
    <w:p w14:paraId="00D26A90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in applicazione dell’art. 3, comma 6, dell’accordo A.R.A.N. / OO.SS. del 20/7/2000 sottoscritto ai sensi dell’art. 8,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della Legge n. 124/99 recepito con decreto ministeriale 5.4.2001, il servizio prestato dai collaboratori scolastici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negli asili nido degli Enti Locali è assimilato a tutti gli effetti a quello prestato nelle scuole dell’infanzia, primarie 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secondarie di I e II grado degli stessi Enti, considerato che l’assegnazione ad una tipologia di scuola era disposta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sulla base di un’unica graduatoria in relazione alle esigenze di servizio dell’ente stesso. Tali servizi sono riconosciuti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nelle lettere A) e B);</w:t>
      </w:r>
    </w:p>
    <w:p w14:paraId="234EC85E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per ogni anno prestato nei Paesi in via di sviluppo il punteggio è raddoppiato.</w:t>
      </w:r>
    </w:p>
    <w:p w14:paraId="20697E8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Non interrompe la maturazione del punteggio del servizio la fruizione del congedo parentale e del congedo biennale per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l’assistenza a familiari con grave disabilità di cui all’art. 42, comma 5 del decreto legislativo n. 151/2001 e successive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modifiche ed integrazioni.</w:t>
      </w:r>
    </w:p>
    <w:p w14:paraId="0A274E0F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E51C53">
        <w:rPr>
          <w:sz w:val="20"/>
          <w:szCs w:val="20"/>
        </w:rPr>
        <w:t>3) La valutazione del servizio pre ruolo svolto nella medesima area di appartenenza viene effettuata secondo il</w:t>
      </w:r>
      <w:r>
        <w:rPr>
          <w:sz w:val="20"/>
          <w:szCs w:val="20"/>
        </w:rPr>
        <w:t xml:space="preserve"> p</w:t>
      </w:r>
      <w:r w:rsidRPr="00E51C53">
        <w:rPr>
          <w:sz w:val="20"/>
          <w:szCs w:val="20"/>
        </w:rPr>
        <w:t>unteggio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di cui alla tabella A dell’allegato E -lett. B (punti 2 nella mobilità a domanda; punti 1 nella mobilità d’ufficio).</w:t>
      </w:r>
    </w:p>
    <w:p w14:paraId="20EA44D8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E’ valutato con punti 1 sia per la mobilità a domanda che per la mobilità d’ufficio il servizio di ruolo e non di ruolo prestato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in area diversa, il servizio prestato nel ruolo docente nonché il servizio militare riconosciuto o riconoscibile ai fini della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carriera ai sensi dell’art. 569 del decreto legislativo 297/94 e successive modifiche.</w:t>
      </w:r>
    </w:p>
    <w:p w14:paraId="565FD4D1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Per la mobilità a domanda il numero di anni e mesi di servizio pre-ruolo si valuta per intero, mentre per la mobilità d’ufficio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i primi 4 anni sono valutati per intero e il periodo eccedente nella misura di due terzi.</w:t>
      </w:r>
    </w:p>
    <w:p w14:paraId="35743CEA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Con il punteggio previsto dalla presente voce vanno valutati i seguenti servizi o periodi:</w:t>
      </w:r>
    </w:p>
    <w:p w14:paraId="4751BD37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di ruolo prestato in qualità di docente;</w:t>
      </w:r>
    </w:p>
    <w:p w14:paraId="25D4C983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non di ruolo ed il servizio militare riconosciuto o riconoscibile ai fini della carriera ai sensi dell’art. 569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 decreto legislativo 297/94 e successive modifiche;</w:t>
      </w:r>
    </w:p>
    <w:p w14:paraId="6F437AF5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il servizio di ruolo prestato in area diversa.</w:t>
      </w:r>
    </w:p>
    <w:p w14:paraId="0AD0F71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lastRenderedPageBreak/>
        <w:t>Sono valutabili anche i servizi il cui riconoscimento sia richiesto da personale ancora in periodo di prova.</w:t>
      </w:r>
    </w:p>
    <w:p w14:paraId="0DA3674D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Il periodo di anzianità derivante da decorrenza giuridica della nomina antecedente alla decorrenza economica nel caso in</w:t>
      </w:r>
    </w:p>
    <w:p w14:paraId="50BEAED1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cui non sia stato prestato effettivo servizio è valutato con punteggio dimezzato.</w:t>
      </w:r>
    </w:p>
    <w:p w14:paraId="3E456A75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Devono essere considerati come anni interi i periodi corrispondenti agli anni scolastici la cui durata risulti inferiore ai 12</w:t>
      </w:r>
    </w:p>
    <w:p w14:paraId="0811DEE0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mesi per effetto di variazione della data di inizio disposta da norme di legge. Il servizio effettivamente prestato nelle scuole</w:t>
      </w:r>
    </w:p>
    <w:p w14:paraId="309FFF15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o istituti situati nelle piccole isole, relativo ad ogni mese o frazione superiore a 15 giorni, deve essere raddoppiato anche</w:t>
      </w:r>
    </w:p>
    <w:p w14:paraId="05099BF4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nei casi di mancata prestazione del servizio per gravidanza, puerperio e per servizio militare di leva o per il sostitutivo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servizio civile, in conformità a quanto previsto sul riconoscimento di tale servizio dalle specifiche normative. Il servizio civile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universale non da luogo a punteggio.</w:t>
      </w:r>
    </w:p>
    <w:p w14:paraId="5CB0928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7CF1B89A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(4) Ai fini del calcolo del punteggio di perdente posto si prescinde dal computo del triennio. Si precisa che per l'attribuzione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 punteggio devono concorrere, per gli anni considerati, la titolarità nel profilo di attuale appartenenza (per gli assistenti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tecnici indipendentemente dall’area professionale di titolarità) ed eventualmente nel ruolo o nei ruoli confluiti nel medesimo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profilo (con esclusione pertanto sia del periodo di servizio pre-ruolo sia del servizio coperto da decorrenza giuridica retroattiva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della nomina) e la prestazione del servizio nella scuola di titolarità. Il punteggio in questione va attribuito anche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in tutti i casi in cui il periodo di mancata prestazione del servizio nella scuola di titolarità è riconosciuto a tutti gli effetti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nelle norme vigenti come servizio di istituto validamente prestato nella medesima scuola. Conseguentemente, a titolo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esemplificativo, il punteggio per la continuità di servizio deve essere attribuito nei casi di congedi, compresi quelli disciplinati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dal decreto legislativo n. 151/01 e successive modifiche ed integrazioni, ed aspettative per motivi di salute, per gravidanza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e puerperio, per servizio militare di leva o per il sostitutivo servizio civile, per mandato politico, nel caso di comandi,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esoneri dal servizio previsti dalla legge per i componenti del consiglio nazionale della pubblica istruzione, di esoneri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sindacali, di aspettative sindacali ancorché non retribuite, di utilizzazione presso i distretti scolastici, etc. Si precisa inoltre,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che, nel caso di sdoppiamento, o di aggregazione di istituti, la titolarità ed il servizio relativi alla scuola di nuova istituzione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devono ricongiungersi alla titolarità ed al servizio relativi alla scuola sdoppiata o aggregata al fine dell’attribuzione del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punteggio in questione. Non interrompe la maturazione del punteggio della continuità neanche la fruizione del congedo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biennale per l’assistenza a familiari con grave disabilità di cui all’art. 5 del decreto legislativo n. 151/01 e successive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modifiche ed integrazioni. Non interrompe la continuità del servizio, altresì, l’utilizzazione in altra scuola del personale in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soprannumero nella scuola di titolarità, né l’utilizzazione ottenuta con precedenza a seguito di sdoppiamento, soppressione,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autonomia o aggregazione delle unità scolastiche. Parimenti, non interrompe la continuità del servizio, il trasferimento del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personale in quanto soprannumerario, qualora il medesimo ottenga nel decennio immediatamente successivo il trasferimento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nel precedente istituto di titolarità, ed abbia prodotto, in ciascun anno, domanda per rientrare nella scuola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precedente titolarità. In ogni caso non deve essere considerata interruzione della continuità del servizio nella scuola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titolarità la mancata prestazione del servizio per un periodo di durata complessiva inferiore a sei mesi in ciascun anno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scolastico.</w:t>
      </w:r>
    </w:p>
    <w:p w14:paraId="6043E64D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Non interrompe, altresì, la continuità del servizio, l’utilizzazione per la sostituzione del titolare di incarico di DSGA, da parte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 personale anche in scuola diversa da quella di titolarità.</w:t>
      </w:r>
    </w:p>
    <w:p w14:paraId="27E709A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Nei riguardi del personale ATA soprannumerario trasferito d’ufficio senza aver prodotto domanda o trasferito a domanda</w:t>
      </w:r>
    </w:p>
    <w:p w14:paraId="6569A11B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condizionata, che richieda come prima preferenza in ciascun anno del decennio il rientro nella scuola o nel comune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precedente titolarità, l’aver ottenuto nel corso del decennio il trasferimento per altre preferenze espresse nella domanda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non interrompe la continuità del servizio.</w:t>
      </w:r>
    </w:p>
    <w:p w14:paraId="2056826B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Ai fini della continuità del servizio non si valuta l’anno in corso.</w:t>
      </w:r>
    </w:p>
    <w:p w14:paraId="31D61525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7CF5F0D9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(4Bis) Si precisa che il punteggio in questione va attribuito anche nei casi in cui l'interessato abbia usufruito del riconoscimento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della continuità del servizio qualora il medesimo ottenga il rientro nella sede di precedente titolarità in cui sia ubicata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la scuola dalla quale sia stato trasferito d'ufficio e tale rientro si realizzi prima della scadenza del decennio.</w:t>
      </w:r>
    </w:p>
    <w:p w14:paraId="0225AED2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</w:p>
    <w:p w14:paraId="7AB056AC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(4Ter) Ai fini della formulazione della graduatoria per l’individuazione del soprannumerario, le esigenze di famiglia, da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considerarsi in questo caso come esigenze di non allontanamento dalla scuola e dal comune di attuale titolarità, sono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valutate nella seguente maniera:</w:t>
      </w:r>
    </w:p>
    <w:p w14:paraId="59FA010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lettera A) (ricongiungimento al coniuge, etc..) vale quando il familiare è residente nel comune di titolarità del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soprannumerario; tale punteggio spetta anche per il comune viciniore a quello di residenza del familiare, a condizione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che in quest’ultimo comune non esistano altre istituzioni scolastiche alle quali possa accedere il personale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interessato. Per gli assistenti tecnici tale ipotesi si realizza nel caso di mancanza di istituzione scolastica nella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quale siano istituiti posti relativi a laboratori compresi nell’area di appartenenza degli interessati</w:t>
      </w:r>
    </w:p>
    <w:p w14:paraId="6705E306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lettera B) e lettera C) valgono sempre;</w:t>
      </w:r>
    </w:p>
    <w:p w14:paraId="67E33E96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• lettera D) (cura e assistenza dei figli con disabilità, etc..) vale quando il comune in cui può essere prestata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l’assistenza coincide con il comune di titolarità del soprannumerario oppure è ad esso viciniore, qualora nel comune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medesimo non vi siano sedi scolastiche richiedibili.</w:t>
      </w:r>
    </w:p>
    <w:p w14:paraId="13E4DF6E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Qualora il comune di residenza del familiare, ovvero il comune per il quale sussistono le condizioni di cui alla lettera D della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Tabella A – Parte II, non sia sede dell’istituzione scolastica di titolarità, il punteggio va attribuito per il comune sede</w:t>
      </w:r>
    </w:p>
    <w:p w14:paraId="4E5C37C2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dell’istituzione scolastica che abbia un plesso o una sezione staccata nel comune di residenza del familiare, ovvero nel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comune per il quale sussistono le condizioni di cui alla lettera D della Tabella A – Parte II.</w:t>
      </w:r>
    </w:p>
    <w:p w14:paraId="42D3DB2D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Il punteggio così calcolato viene utilizzato anche nelle operazioni di trasferimento d’ufficio del soprannumerario.</w:t>
      </w:r>
    </w:p>
    <w:p w14:paraId="548C350C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21DBF630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(5) Il punteggio spetta per il comune di residenza del familiare a cui si richiede di ricongiungersi a condizione che esso,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alla data di pubblicazione dell’ordinanza, vi risieda effettivamente con iscrizione anagrafica da almeno tre mesi. Qualora il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comune di residenza del familiare, ovvero il comune per il quale sussistono le condizioni di cui alla lettera D della Tabella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 – Parte II, non sia sede dell’istituzione scolastica di titolarità, il punteggio va attribuito per il comune sede dell’istituzione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scolastica che abbia un plesso o una sezione staccata nel comune di residenza del familiare, ovvero nel comune per il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quale sussistono le condizioni di cui alla lettera D della Tabella A – Parte II.</w:t>
      </w:r>
    </w:p>
    <w:p w14:paraId="0E804756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La residenza del familiare alla quale si chiede il ricongiungimento deve essere documentata con dichiarazione personale</w:t>
      </w:r>
    </w:p>
    <w:p w14:paraId="6A3D750C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redatta ai sensi delle disposizioni contenute nel D.P.R. 28.12.2000, n. 445 e successive modifiche ed integrazioni, nei quali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dovrà essere indicata la decorrenza dell'iscrizione stessa. Si prescinde dall’iscrizione anagrafica quando si tratta di ricongiungimento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 xml:space="preserve">al familiare </w:t>
      </w:r>
      <w:r w:rsidRPr="00E51C53">
        <w:rPr>
          <w:sz w:val="20"/>
          <w:szCs w:val="20"/>
        </w:rPr>
        <w:lastRenderedPageBreak/>
        <w:t>trasferito per servizio nei tre mesi antecedenti alla data di pubblicazione dell'ordinanza. In tal caso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ai fini dell’attribuzione del punteggio la dichiarazione personale redatta ai sensi delle disposizioni contenute nel D.P.R.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28.12.2000, n. 445 e successive modifiche ed integrazioni, dovrà contenere l’anzidetta informazione. Tale punteggio spetta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anche per il comune viciniore a quello di residenza del familiare, nonché per quello in cui si verificano le condizioni di cui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alla lettera D della Tabella A – Parte II, a condizione che in quest’ultimo comune non esistano altre istituzioni scolastiche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alle quali possa accedere il personale interessato. Per gli assistenti tecnici tale ipotesi si realizza nel caso di mancanza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istituzione scolastica nella quale siano istituiti posti relativi a laboratori compresi nell’area di appartenenza degli interessati.</w:t>
      </w:r>
    </w:p>
    <w:p w14:paraId="52C04026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I punteggi per le esigenze di famiglia di cui alle lettere A), B), C), D) sono cumulabili fra loro.</w:t>
      </w:r>
    </w:p>
    <w:p w14:paraId="3469D622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5B48B882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(5 bis) Per i soli trasferimenti a domanda, le situazioni di cui al presente titolo non si valutano per i trasferimenti nell’ambito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della stessa sede (per sede si intende “comune”).</w:t>
      </w:r>
    </w:p>
    <w:p w14:paraId="0FDB2B1F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6611FA35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(5 ter) Ai sensi della legge 76/2016 per coniuge si intende anche la parte dell’unione civile. Al coniuge o parte dell’unione</w:t>
      </w:r>
    </w:p>
    <w:p w14:paraId="5AB8BB10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civile è equiparato, ai fini della attribuzione del punteggio, il convivente di fatto di cui all’art. 1, comma 36 e 37, della legge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76/2016.</w:t>
      </w:r>
    </w:p>
    <w:p w14:paraId="7BED3FA8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57B010FB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(6) Il punteggio va attribuito anche per i figli che compiono i 6 anni o i 18 anni tra il 1° gennaio e il 31 dicembre dell'anno</w:t>
      </w:r>
    </w:p>
    <w:p w14:paraId="18885E41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in cui si effettua il trasferimento.</w:t>
      </w:r>
    </w:p>
    <w:p w14:paraId="42949AC3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5A01F8B0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(7) La valutazione è attribuita nei seguenti casi:</w:t>
      </w:r>
    </w:p>
    <w:p w14:paraId="18AE6D9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a) figlio con disabilità, ovvero coniuge, o genitore, ricoverati permanentemente in istituto di cura;</w:t>
      </w:r>
    </w:p>
    <w:p w14:paraId="76AE80FB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b) figlio con disabilità, ovvero coniuge, o genitore, bisognosi di cure continuative presso un istituto di cura tali da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comportare la necessità di risiedere nella sede dell'istituto medesimo.</w:t>
      </w:r>
    </w:p>
    <w:p w14:paraId="1F97228F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041587B8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(8) Per l'attribuzione del punteggio gli interessati devono produrre una dichiarazione, in carta libera, rilasciata rispettivamente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dal medico di fiducia o dal responsabile delle strutture, abilitate ai sensi del D.P.R. 309/90, attestante la partecipazione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dei figli tossicodipendenti ad un programma terapeutico e socioriabilitativo comportante di necessità il domicilio nella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sede dei genitori.</w:t>
      </w:r>
    </w:p>
    <w:p w14:paraId="4904410F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4340C486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(9) Il punteggio è attribuito esclusivamente al personale appartenente all’area dei Funzionari ed elevata qualificazione. Il</w:t>
      </w:r>
    </w:p>
    <w:p w14:paraId="26C02DFC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punteggio è attribuito anche per l'inclusione nella graduatoria di merito dei concorsi riservati di cui all'art.557 decreto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legislativo 297/94 e all’art. 9 del CCNI 3 dicembre 2009. Il punteggio è attribuito anche al personale transitato dagli Enti</w:t>
      </w:r>
    </w:p>
    <w:p w14:paraId="35B0E634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Locali ai sensi dell’art. 8, comma 3, della L. n. 124/99.</w:t>
      </w:r>
    </w:p>
    <w:p w14:paraId="5E7C2192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5B20BF38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(10) Il punteggio è attribuito al personale appartenente a profilo professionale diverso da quelli appartenenti all’Area dei</w:t>
      </w:r>
    </w:p>
    <w:p w14:paraId="1254B7BD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Funzionari ed elevata qualificazione ed è attribuito per l'inclusione nella graduatoria di merito dei concorsi a posti, nella</w:t>
      </w:r>
    </w:p>
    <w:p w14:paraId="571992D1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scuola statale, di personale ATA di livello o area superiore, sia ordinari che riservati per esami o per esami e titoli. Il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punteggio è attribuito anche al personale incluso nelle graduatorie per la mobilità professionale in profilo professionale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superiore rispetto a quello di attuale appartenenza di cui all’art. 9 del CCNI 3 dicembre 2009 nonché al personale transitato</w:t>
      </w:r>
    </w:p>
    <w:p w14:paraId="0B224EDF" w14:textId="77777777" w:rsidR="00D0394A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dagli Enti Locali ai sensi dell’art. 8 comma 3 della L. n. 124/99.</w:t>
      </w:r>
    </w:p>
    <w:p w14:paraId="3E38668D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</w:p>
    <w:p w14:paraId="14C30924" w14:textId="77777777" w:rsidR="00D0394A" w:rsidRPr="00E51C53" w:rsidRDefault="00D0394A" w:rsidP="00D0394A">
      <w:pPr>
        <w:adjustRightInd w:val="0"/>
        <w:jc w:val="both"/>
        <w:rPr>
          <w:sz w:val="20"/>
          <w:szCs w:val="20"/>
        </w:rPr>
      </w:pPr>
      <w:r w:rsidRPr="00E51C53">
        <w:rPr>
          <w:sz w:val="20"/>
          <w:szCs w:val="20"/>
        </w:rPr>
        <w:t>(11) Il servizio prestato in qualità di incaricato ex art. 5 dell’Accordo ARAN – OOSS 8.3.2002 e ex art. 58, del C.C.N.L.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24.7.2003 e ex art. 59 del C.C.N.L. del 29/11/2007, è da valutare con lo stesso punteggio previsto per il servizio non di</w:t>
      </w:r>
      <w:r>
        <w:rPr>
          <w:sz w:val="20"/>
          <w:szCs w:val="20"/>
        </w:rPr>
        <w:t xml:space="preserve"> </w:t>
      </w:r>
      <w:r w:rsidRPr="00E51C53">
        <w:rPr>
          <w:sz w:val="20"/>
          <w:szCs w:val="20"/>
        </w:rPr>
        <w:t>ruolo. Tale servizio, qualora abbia avuto una durata superiore a 180 gg, interrompe la continuità.</w:t>
      </w:r>
    </w:p>
    <w:p w14:paraId="63F9CEA8" w14:textId="77777777" w:rsidR="00D0394A" w:rsidRDefault="00D0394A">
      <w:pPr>
        <w:pStyle w:val="Titolo1"/>
        <w:spacing w:before="74"/>
      </w:pPr>
    </w:p>
    <w:sectPr w:rsidR="00D0394A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abstractNum w:abstractNumId="7" w15:restartNumberingAfterBreak="0">
    <w:nsid w:val="79CD7775"/>
    <w:multiLevelType w:val="hybridMultilevel"/>
    <w:tmpl w:val="F256690C"/>
    <w:lvl w:ilvl="0" w:tplc="44E2F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6922">
    <w:abstractNumId w:val="5"/>
  </w:num>
  <w:num w:numId="2" w16cid:durableId="834804874">
    <w:abstractNumId w:val="1"/>
  </w:num>
  <w:num w:numId="3" w16cid:durableId="570193592">
    <w:abstractNumId w:val="0"/>
  </w:num>
  <w:num w:numId="4" w16cid:durableId="1800609236">
    <w:abstractNumId w:val="6"/>
  </w:num>
  <w:num w:numId="5" w16cid:durableId="1568303288">
    <w:abstractNumId w:val="2"/>
  </w:num>
  <w:num w:numId="6" w16cid:durableId="1545099747">
    <w:abstractNumId w:val="3"/>
  </w:num>
  <w:num w:numId="7" w16cid:durableId="2040665041">
    <w:abstractNumId w:val="4"/>
  </w:num>
  <w:num w:numId="8" w16cid:durableId="1915818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9B"/>
    <w:rsid w:val="000172E8"/>
    <w:rsid w:val="000C2657"/>
    <w:rsid w:val="002F7582"/>
    <w:rsid w:val="00344F2D"/>
    <w:rsid w:val="003F5D09"/>
    <w:rsid w:val="00443199"/>
    <w:rsid w:val="00476ABA"/>
    <w:rsid w:val="00477AEE"/>
    <w:rsid w:val="004D3BB9"/>
    <w:rsid w:val="005F1188"/>
    <w:rsid w:val="00623E45"/>
    <w:rsid w:val="00685EB8"/>
    <w:rsid w:val="00735CEB"/>
    <w:rsid w:val="007C6B28"/>
    <w:rsid w:val="008000D8"/>
    <w:rsid w:val="00867EC0"/>
    <w:rsid w:val="008A4905"/>
    <w:rsid w:val="008B1508"/>
    <w:rsid w:val="00A505F1"/>
    <w:rsid w:val="00A57B2B"/>
    <w:rsid w:val="00A91274"/>
    <w:rsid w:val="00B47491"/>
    <w:rsid w:val="00B53234"/>
    <w:rsid w:val="00B56BEB"/>
    <w:rsid w:val="00C4649B"/>
    <w:rsid w:val="00C83442"/>
    <w:rsid w:val="00CC5282"/>
    <w:rsid w:val="00D0394A"/>
    <w:rsid w:val="00D21EDA"/>
    <w:rsid w:val="00E5073A"/>
    <w:rsid w:val="00E80C69"/>
    <w:rsid w:val="00F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504EF813-A481-4E4F-A554-74EA67D4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markedcontent">
    <w:name w:val="markedcontent"/>
    <w:basedOn w:val="Carpredefinitoparagrafo"/>
    <w:rsid w:val="00E8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4667</Words>
  <Characters>26604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Luca Lombardi</cp:lastModifiedBy>
  <cp:revision>3</cp:revision>
  <dcterms:created xsi:type="dcterms:W3CDTF">2026-03-27T07:38:00Z</dcterms:created>
  <dcterms:modified xsi:type="dcterms:W3CDTF">2026-03-27T07:37:00Z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